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«ПСН Проперти Менеджмент» (далее – общество) обратилось в суд с заявлением о включении в реестр требований кредиторов должника (далее – реестр) задолженности в размере 103 516 004 рубля 78 копеек. Определением Арбитражного суда города Москвы от 17.03.2020 заявление удовлетворено в части включения требования в размере 97 878 889 рублей 21 копейки в третью очередь реестра, в удовлетворении заявления в остальной части отказано. Определением Арбитражного суда города Москвы от 15.01.2021 в реестр внесены изменения, согласно которым требование общества в размере 3 438 360 рублей учтены в третьей очереди реестра. Постановлением Девятого арбитражного апелляционного суда от 24.03.2021 определение суда первой инстанции от 15.01.2021 в части внесения изменений в реестр отменено, определение от 17.03.2020 изменено. Требование общества в размере 3 348 360 рублей включено в третью очередь реестра. В удовлетворении заявления в остальной части отказано. Постановлением Арбитражного суда Московского округа от 17.06.2021 отменены определение суда первой инстанции от 17.03.2020 и постановление 2 апелляционного суда от 24.03.2021 в части отказа во включении в реестр требований, основанных на договоре №030/17-00279 от 01.06.2017 и договоре уступке прав требований №010816/NASR-PSNPM-ED_(REC) от 01.08.2016, в отменённой части обособленный спор направлен на новое рассмотрение в Арбитражный суд города Москвы. В остальной части судебные акты оставлено без изменения. При новом рассмотрении определением Арбитражного суда города Москвы от 03.12.2019, оставленным без изменения постановлениями Девятого арбитражного апелляционного суда от 21.02.2022 и Арбитражного суда Московского округа от 19.05.2022, требование общества в размере в размере 94 440 529 рублей 21 копейка включено в третью очередь реестра.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во включении в реестр задолженности по договору уступки прав требований №010816/NASR-PSNPM-ED_(REC) от 01.08.2016 в размере 71 000 000 рублей. Жалоба изучена в пределах изложенных в ней доводов. 21.09.2022 материалы дела № А40-317497/2018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Повторно разрешая спор в обжалуемой части, суды, руководствуясь статьями 203, 384, 388 Гражданского кодекса Российской Федерации, статьями 71, 100, 134 Федерального закона от 26.10.2002 № 127-ФЗ «О несостоятельности (банкротстве)», пунктом 20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 из обоснованности заявленного требования и обстоятельств прерывания течения срока исковой давности, в связи с чем включили это требование в третью очередь реестра. Выводы судов в обжалуемой заявителем части соответствуют нормам права, оснований для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3 неправильном применении судами норм материального и процессуального права, повлиявшем на исход дела.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