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октября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определением Арбитражного суда Курской области от 17.01.2022 частично удовлетворено заявление кредитора должника Золотухина А.С., признаны недействительными сделками договор купли-продажи земельного участка от 28.04.2015, заключенный между должником и обществом с ограниченной ответственностью "Ферма доращивания «Черемисиновская»", а также договор процентного займа от 07.12.2015, заключенный между должником и обществом с ограниченной ответственностью «ПС Голдстрим». Отказано в удовлетворении остальной части требований. Постановлением Девятнадцатого арбитражного апелляционного суда от 29.06.2022 отменено определение суда первой инстанции от 17.01.2022, заявление Золотухина А.С. оставлено без рассмотрения. Постановлением Арбитражного суда Центрального округа от 15.08.2022 отменено постановление апелляционного суда от 29.06.2022, обособленный спор направлен в Девятнадцатый арбитражный апелляционный суд для рассмотрения апелляционных жалоб по существу. В кассационных жалобах, поданных в Верховный Суд Российской Федерации, заявители просят отменить указанное постановление суда округа, оставить в силе постановление апелляционного суда. 2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кассационных жалоб таких оснований не установлено. Отменяя постановление апелляционного суда и направляя спор в Девятнадцатый арбитражный апелляционный суд для рассмотрения апелляционных жалоб по существу, суд округа, руководствуясь положениями пункта 2 статьи 61.9 Федерального закона от 26.10.2002 № 127-ФЗ «О несостоятельности (банкротстве)» (далее – Закон о банкротстве), исходил из ошибочности выводов об отсутствии права на оспаривание указанных сделок у Золотухина А.С., как кредитора, чьё требование составляет 18,8 процентов от общего размера задолженности, включённой в реестр требований кредиторов должника, признав правомерность рассмотрения его заявления об оспаривании сделок по существу. Обжалуемое постановление принято в пределах полномочий, предоставленных суду кассационной инстанции (статья 287 Арбитражного процессуального кодекса Российской Федерации). Выводы суда округа соответствуют нормам права, оснований для переоценки этих выводов не имеется. Оснований для передачи кассационных жалоб на рассмотрение в судебном заседании Судебной коллегии Верховного Суда Российской Федерации не имеется.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"Лотос ТЕХ" и обществу с ограниченной ответственностью "Наше Мясо" в передаче кассационных жалоб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