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09.03.2022, оставленным без изменения постановлением Пятнадцатого арбитражного апелляционного суда от 20.05.2022 и постановлением Арбитражного суда Северо-Кавказского округа от 10.08.2022, иск удовлетворен. В кассационной жалобе общество «Небанковская кредитная организация «Расчетные решения» просит об отмене судебных актов, ссылаясь на неправильную квалификацию правоотношений и несоответствие выводов фактам и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присоединение сторон к Правилам транспортной системы Ростовской области, из которых следует обязанность ответчика по перечислению истцу за минусом вознаграждения поступивших от пассажиров за использованную транспортную услугу денежных средств, и неисполнение этой обязанности на заявленную сумму. Суды установили соответствие требования зарегистрированным в системе транзакциям по оплате проезда. Приведенные в жалобе доводы противоречат установленным обстоятельствам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«Небанковская кредитная организация «Расчетные решения»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