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Саулина А.Л. в Арбитражный суд Московской области обратился финансовый управляющий его имуществом Горчаков М.Г. с заявлением об истребовании у должника и обязании его передать ключи для доступа на территорию и жилой дом, а также обеспечить доступ на спорное имущество. Определением Арбитражного суда Московской области от 22.03.2022, оставленным без изменения постановлением Десятого арбитражного апелляционного суда от 17.05.2022 и постановлением Арбитражного суда Московского округа от 27.07.2022, заявление удовлетворено. Саулин А.Л. обратился в Судебную коллегию Верховного Суда Российской Федерации с кассационной жалобой на указанные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заявленное ходатайство, суды исходили из того, что необходимость истребования имущества обусловлена исполнением финансовым управляющим возложенных на него статьями 20.3, 213.9 Федерального закона от 26.10.2002 № 127-ФЗ «О несостоятельности (банкротстве)» обязанностей, в отсутствие добросовестного сотрудничества должника, учитывая, что в рамках дела о несостоятельности (банкротстве) должника проведена реализация заложенного имущества путем реализации его на торгах в форме публичного предложения и с победителем торгов подписан договор купли-продажи в отношении спорного имущества, которое не передано покупателю.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