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09.09.2021, оставленным без изменения постановлением Восемнадцатого арбитражного апелляционного суда от 10.03.2022 и постановлением Арбитражного суда Уральского округа от 14.06.2022, требование кредитора в заявленном размере включено в третью очередь реестра. В кассационной жалобе Волкович И.А. просит об отмене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доказательств, на которых основаны доводы жалобы,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Волковичу И.А.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