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05.04.2021 из конкурсной массы должника исключена ½ доли в праве на квартиру, расположенную по адресу: &lt;...&gt;. Десятый арбитражный апелляционный суд постановлением от 01.09.2021 отменил определение от 05.04.2021 и в удовлетворении заявления отказал. Арбитражный суд Московского округа постановлением от 28.12.2021 постановление апелляционного суда от 01.09.2021 оставил без изменения. В кассационной жалобе ФИО1 просит об отмене судебных актов апелляционного и окружного судов, ссылаясь на прекращение залога спорной доли квартиры.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Нахождение имущества в залоге попадает под исключение из указанных в статье 446 Гражданского процессуального кодекса Российской Федерации случаев невозможности обращения на него взыскания. Суды установили, что квартира передана должником и его супругой в залог акционерному обществу «ОТП Банк», требование которого, возникшее из кредитного договора, включено в реестр должника как обеспеченное залогом квартиры. Право выбора, к кому из находящихся в банкротстве созалогодателей (ФИО2 и ФИО1 в порядке наследования за супругой должника), предъявлять требование об обращении взыскания на заложенное имущество, принадлежит банку. Невключение такого требования в реестр ФИО1 не влечет прекращения залога квартиры.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