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29.03.2022, оставленным без изменения постановлением Десятого арбитражного апелляционного суда от 25.05.2022 и постановлением Арбитражного суда Московского округа от 04.08.2022, процедура реализации имущества должника завершена, должник освобожден от дальнейшего исполнения требований кредиторов. В кассационной жалобе Мальцева Ю.В.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Суды исследовали и оценили поведение должника в ситуациях образования и погашения задолженности и признали его создающим условия для применения правил пункта 3 статьи 213.28 Федерального закона от 26.10.2002 № 127-ФЗ «О несостоятельности (банкротстве)» для освобождения от исполнения обязательств.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Мальцевой Юлике Валентиновне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