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20.12.2021, оставленным без изменения постановлением Седьмого арбитражного апелляционного суда от 03.03.2022, в удовлетворении заявления отказано. Постановлением Арбитражного суда Западно-Сибирского округа от 15.06.2022 определение и постановление апелляционного суда отменены, дело направлено на новое рассмотрение в суд первой инстанции. В кассационной жалобе Рафеенко И.В.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кассационной инстанции, признав необходимость нового рассмотрения заявления для установления не исследованных судами нижестоящих инстанций обстоятельств, имеющих значение для правильного разрешения спора, действовал в пределах полномочий, предоставленных статьями 286-288 Арбитражного процессуального кодекса Российской Федерации.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Рафеенко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