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14.01.2022, оставленным без изменения постановлением Семнадцатого арбитражного апелляционного суда от 09.03.2022 и постановлением Арбитражного суда Уральского округа от 29.06.2022, в удовлетворении заявления Богданова С.С. о зачете встречных однородных требований отказано, в удовлетворении ходатайства финансового управляющего о введении процедуры реализации имущества гражданина отказано, утвержден план реструктуризации долгов гражданина. В кассационной жалобе Петров А.С. просит об отмене судебных актов вследствие несоответствия финансового положения должника критериям для введения процедуры реструктуризации долгов.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реструктуризации долгов применена судами в силу статей 213.2, 213.6, 213.13 Федерального закона от 26.10.2002 № 127-ФЗ «О несостоятельности (банкротстве)» в качестве восстановительной процедуры, в рамках которой должны быть установлены объем долгов и возможные источники их погашения. Доводы кассационной жалобы не подтверждают нарушения норм права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Артему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