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11.03.2022, оставленным без изменения постановлением Девятого арбитражного апелляционного суда от 30.05.2022 и постановлением Арбитражного суда Московского округа от 01.08.2022, заявление удовлетворено. В кассационной жалобе общество просит об отмене судебных актов, ссылаясь на отсутствие исполнительского иммунитета у спорной недвижимости.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Судебные акты соответствуют установленной характеристике имущества, с которой связаны невозможность его реализации в целях погашения требований перед кредиторами.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«ЮГ-КОЛЛЕКШН»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