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27.02.2015, оставленным без изменения постановлением Десятого арбитражного апелляционного суда от 24.04.2015 и постановлением Арбитражного суда Московского округа от 05.10.2015, исковые требования удовлетворены. В кассационной жалобе заявитель (предприниматель) ставит вопрос об отмене состоявшихся по делу судебных актов,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Оценив представленные в материалы дела и полученные от закрытого акционерного общества «Райффайзенбанк» по запросу суда доказательства с позиции статьи 71 Арбитражного процессуального кодекса Российской Федерации, учитывая условия договора займа от 12.09.2007, заключенного между обществом «ТЕХНОМАТ» и предпринимателем в целях оплаты последним договора уступки от 11.09.2007, установив ненадлежащее исполнение предпринимателем обязательств по возврату займа в установленные договором сроки, руководствуясь положениями статей 309 , 310 , 382 , 384 , 395 , 807 , 808 , 809 , 811 , 819 Гражданского кодекса Российской Федерации, суды пришли к выводу об удовлетворении иска. Доводы заявителя о нарушении судами правил подсудности спора (подведомственности) и неправомерности отказа в проведении экспертизы были предметом рассмотрения судов и им дана мотивированная оценка. Нарушений норм материального и процессуального права судами не допущено, в связи с чем суд не находит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О.А. Козлова Суд: Верховный Суд РФ (подробнее) Истцы: Веллмаркет Корп. Веллмаркет Корп. (подробнее) Компания "Веллмаркет корп." (Wellmarket corp.) (подробнее) Ответчики: И.П. Куцериб А. Н. (подробнее) ИП Куцериб Андрей Николаевич (подробнее) Иные лица: ЗАО "Райффайзенбанк" (подробнее) ООО "КОМПЛЕКТАВТОМАТИКА" (подробнее) ООО "ТЕХНОМАТ" (подробнее) ФЕДЕРАЛЬНОЕ КАЗЕННОЕ УЧРЕЖДЕНИЕ "СЛЕДСТВЕННЫЙ ИЗОЛЯТОР №5 УПРАВЛЕНИЯ ФЕДЕРАЛЬНОЙ СЛУЖБЫ ИСПОЛНЕНИЯ НАКАЗАНИЙ ПО Г. МОСКВЕ" (подробнее) Последние документы по делу: Определение от 17 октября 2022 г. по делу № А41-51724/2014 Определение от 12 января 2016 г. по делу № А41-51724/2014 Показать все документы по этому делу Судебная практика по: Долг по расписке, по договору займа Судебная практика по применению нормы ст. 808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