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21.01.2022, оставленным без изменения постановлением Пятого арбитражного апелляционного суда от 11.03.2022 и постановлением Арбитражного суда Дальневосточного округа от 05.07.2022, порт обязан выдать компании находящийся на хранении товар, поименованный в резолютивной части решения, в удовлетворении остальной части первоначальных исковых требований и в удовлетворении встречных исковых требований отказано. В кассационной жалобе, поданной в Верховный Суд Российской Федерации, рыбокомбинат,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первоначальных исковых требований и удовлетворении встречных исковых требований либо направить дело на новое рассмотрение в Арбитражный суд Приморского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констатировав, что договоры фрахтования, поставки и переработки содержат все существенные условия, отметив, что в период их исполнения у сторон не возникало каких-либо противоречий, не установив признаков ничтожности договоров, исходя из того, что спорный товар переработан из сырца, добытого в пределах, предусмотренных соответствующим разрешением, учитывая отсутствие доказательств, подтверждающих право компании оформлять какие-либо разрешительные или иные документы в интересах общества или иных лиц, руководствуясь статьями 166, 174, 309, 310, 398, 432, 454, 455, 456, 458, 463, 465, 506, 509, 510, 632, 779 Гражданского кодекса Российской Федерации, положениями Кодекса торгового мореплавания Российской Федерации, Федерального закона от 26.12.1994 № 208-ФЗ «Об акционерных обществах», суды первой и апелляционной инстанций пришли к выводу о наличии оснований для удовлетворения первоначальных исковых требований в части выдачи компании спорного товара, находящегося на складе порта, отказав в удовлетворении встречных требований. Суд округа поддержал выводы судов первой и апелляционной инстанций. 3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существенные нарушения норм материального права и (или) норм процессуального права, которые повлияли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Рыбокомбинат «Островной»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