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Брянской области от 27.10.2021, оставленным без изменения постановлением Двадцатого арбитражного апелляционного суда от 07.02.2022 и постановлением Арбитражного суда Центрального округа от 16.06.2022, признан недействительным договор купли-продажи транспортного средства от 10.11.2019, заключенный Ромашовой Т.А. с Алексеевой Т.Ф., последняя обязана вернуть автомобиль в конкурсную массу должника. В кассационной жалобе Ромашова Т.А. просит об отмене судебных актов, ссылаясь на отсутствие условий недействительности сделки по общегражданскими основаниям.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Признание сделки недействительной силу статьи 10 Гражданского кодекса Российской Федерации соответствует установленным обстоятельствам заключения договора и компетенции судов на оценку поведения сторон. Требуемая переоценка установленных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Ромашовой 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