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02.02.2021, оставленным без изменения постановлением Двадцатого арбитражного апелляционного суда от 30.04.2021 и постановлением Арбитражного суда Центрального округа от 04.08.2021, требование признано обоснованным и подлежащим включению в третью очередь реестра. В кассационной жалобе ФИО2 просит отменить судебные акты, ссылаясь на игнорирование установленных судом общей юрисдикции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требование кредитора подтверждено вступившим в законную силу судебным актом суда общей юрисдикции и не исполнено должником, поэтому включено в его реестр в силу статей 71, 100 Федерального закона от 26.10.2002 № 127-ФЗ «О несостоятельности (банкротстве)». Обстоятельства, установленные судом общей юрисдикции, положены в основу обжалуемых судебных актов, что опровергает довод заявителя об игнорировании их арбитражными судами.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