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Скорикова Олега Владимировича в Арбитражный суд Курганской области обратился Шафир А.В. с заявлением об исключении из конкурсной массы должника денежных средств, перечисленных ООО «Уралгазремонт» в конкурсную массу должника. Определением Арбитражного суда Курганской области от 13.04.2022, оставленным без изменения постановлением Восемнадцатого арбитражного апелляционного суда от 14.06.2022 и постановлением Арбитражного суда Уральского округа от 23.08.2022, в удовлетворении заявления отказано. Шафир А.В. обратился в Судебную коллегию по экономическим спорам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связи, руководствуясь статьей 382 Гражданского кодекса Российской Федерации, установив, что оплата в спорной сумме произведена ООО «Уралгазремонт» до перехода прав к новому кредитору и до получения должником уведомления о состоявшейся уступке, суды пришли к выводу об отсутствии оснований для исключения спорной суммы из конкурсной массы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