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Севастополя от 14.12.2021, оставленным без изменения постановлением Двадцать первого арбитражного апелляционного суда от 12.04.2022 и постановлением Арбитражного суда Центрального округа от 14.07.2022, в удовлетворении заявления отказано. В кассационной жалобе Токарев В.И. просит отменить судебные акты как несоответствующие общегражданским номам о недействительности сделок.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установили, что статус имущества определен супругами до заключения брака и в отсутствие нарушения пределов осуществления гражданских прав в отношении сторонних лиц, поэтому не признали наличия оснований, предусмотренных статьями 10, 168, 170 Гражданского кодекса Российской Федерации, для недействительности договора. Иная оценка заявителем обстоятельств и цели заключения договора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 Токареву В.И.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