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17.01.2022, оставленным без изменения постановлением Восемнадцатого арбитражного апелляционного суда от 21.03.2022 и постановлением Арбитражного суда Уральского округа от 27.06.2022, заявление удовлетворено. В кассационной жалобе общество просит об отмене судебных актов, ссылаясь на неправильную оценку обстоятельств совершения сделки.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2 Таких оснований в связи с доводами жалобы не усматривается. Суды исследовали обстоятельства заключения договора и признали их создающими условия для недействительности сделки в силу статьей 10, 170 Гражданского кодекса Российской Федерации. Иная оценка обстоятельств заключения сделки не создает оснований для кассационного пересмотра судебных актов.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«Улисс»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