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17.12.2021, оставленным без изменения постановлением Девятого арбитражного апелляционного суда от 22.03.2022 и постановлением Арбитражного суда Московского округа от 16.06.2022, процедура реализации имущества должника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неуведомление его о банкротстве должника, имеющего просуженную задолженность перед банком.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соблюдение финансовым управляющим требования об опубликовании сведений о признании должника банкротом и незявление банком требования в рамках дела о банкротстве, при рассмотрении которого возможно обсуждение вопроса о восстановлении срока о включении требования в реестр, поэтому завершили процедуру реализации имущества в соответствии с представленным финансовым управляющим отчетом.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ЗЕНИТ»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