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18.02.2022, оставленным без изменения постановлением Девятого арбитражного апелляционного суда от 13.04.2022 и постановлением Арбитражного суда Московского округа от 20.07.2022, заявление удовлетворено. В кассационной жалобе Левкович И.В., Левкович В.И. и Анисимова Т.Ю. просят отменить судебные акты, ссылаясь на неприменение срока исковой давности, нарушение подсудности, незаконное одновременное изменение предмета и основания иска.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передачу имущества должника посредством заключения оспариваемых сделок без равноценного встречного предоставления с заинтересованным лицами с целью вывода ликвидного имущества из конкурсной массы в качестве условий для недействительности этих сделок в силу статей 10, 168, 170 Гражданского кодекса Российской Федерации. Срок исковой давности для финансового управляющего исчислен в соответствии со статьями 181, 213.32 Федерального закона от 26.10.2002 № 127-ФЗ «О несостоятельности (банкротстве)». Одновременное изменения предмета и основания заявления отсутствует, поскольку предметом заявления являются сделки в отношении определенного имущества должника. Вопросы подсудности не попадают под основания для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Левковичу И.В., Левкович В.И. и Анисимовой Т.Ю.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