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08.07.2021, оставленным без изменения постановлением Девятого арбитражного апелляционного суда от 14.12.2021 и постановлением Арбитражного суда Московского округа от 14.06.2022,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16, 69 Арбитражного процессуального кодекса Российской Федерации, статьями 309, 310, 395, 421, 506, 520, 702, 758, 1102 Гражданского кодекса Российской Федерации, суды первой и апелляционной инстанций не установили оснований для удовлетворения исковых требований, исходя из того, что требование общества фактически направлено на пересмотр вступившего в законную силу судебного акта о взыскании с него задолженности. Суд округа поддержал выводы судов первой и апелляционной инстанций. Доводы жалобы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существенные нарушения норм материального права и (или) норм процессуального права, которые повлияли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«Московская кольцевая железная дорога»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