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27.01.2022 исковые требования удовлетворены. Постановлением Пятнадцатого арбитражного апелляционного суда от 08.04.2022, оставленным без изменения постановлением Арбитражного суда Северо-Кавказского округа от 15.06.2022, решение суда первой инстанции отменено,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постановления от 08.04.2022, от 15.06.2022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отказывая в удовлетворении исковых требований, суд апелляционной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 в законную силу судебным актом по делу № А32-14385/2019, руководствуясь статьями 709, 720, 743, 1102 Гражданского кодекса Российской Федерации, исходил из недоказанности факта неосновательного обогащения на стороне ответчика за счет истца. Суд округа поддержал выводы суда апелляционной инстанции, мотивированно отклонив доводы заявителя.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«Якорь»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