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Шеловского Г.Г. в Арбитражный суд Оренбургской области обратилось ПАО «Сбербанк России» с заявлением о взыскании с Шеловской О.И. денежного эквивалента стоимости 1/2 доли в квартире в размере 975 000 рублей. Финансовый управляющий Сизов А.В. привлечен к участию в споре в качестве созаявителя. Определением Арбитражного суда Оренбургской области от 22.11.2021, оставленным без изменения постановлением Восемнадцатого арбитражного апелляционного суда от 18.04.2022 и постановлением Арбитражного суда Уральского округа от 16.08.2022, заявление удовлетворено. Шеловская О.И.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спорная квартира являлась совместно нажитым имуществом бывших супругов Шеловских и подлежала включению в конкурсную массу должника, а ответчик произвел отчуждение объекта недвижимости и получил оплату по договору, руководствуясь статьями 213.25, 213.26 Федерального закона от 26.10.2002 № 127-ФЗ «О несостоятельности (банкротстве)»,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сделали вывод о том, что в конкурсную массу должника подлежит включению половина денежных средств, вырученных от реализации имущества, признав не пропущенным срок исковой давности для обращения со спорным требованием.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