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управлению о взыскании 165 172 134 руб. 22 коп. задолженности по договору от 05.12.2014 № 2014/2-649. Решением Арбитражного суда города Москвы от 23.07.2021, оставленным без изменения постановлением Девятого арбитражного апелляционного суда от 02.12.2021 и постановлением Арбитражного суда Московского округа от 27.04.2022, иск удовлетворен. В кассационной жалобе, поданной в Верховный Суд Российской Федерации, управление, ссылаясь на существенное нарушение судами норм материального и процессуального права, просит отменить состоявшиеся по делу судебные акты и направить дело на новое рассмотрение в суд первой инстанции. Определением Верховного Суда Российской Федерации от 19.08.2022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представители управления поддержали доводы кассационной жалобы, а представитель общества возражал против ее удовлетворения. Согласно части 1 статьи 291.11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Проверив обоснованность доводов, изложенных в кассационной жалобе и выступлениях представителей сторон, Судебная коллегия по экономическим спорам Верховного Суда Российской Федерации пришла к выводу о том, что обжалуемые судебные акты подлежат отмене, а дело - направлению на новое рассмотрение в суд первой инстанции по следующим основаниям. Как следует из материалов дела и установлено судами, между управлением (генподрядчик) и обществом с ограниченной ответственностью «Инженерное бюро «Хоссер» (подрядчик, после переименования – общество с ограниченной ответственностью «Оборонмедстрой», далее – бюро) 05.12.2014 заключен договор № 2014/2-649 на выполнение полного комплекса работ по объекту: «Здание инвентарный № 16 военного городка № 59» (далее – договор). В соответствии с соглашением от 18.04.2016, подписанным управлением, бюро и обществом, произведена замена стороны в обязательстве по договору, права и обязанности по нему переданы обществу. Порядок сдачи-приемки выполненных работ установлен в разделе 12 договора. В соответствии с пунктом 12.1.3 договора генподрядчик, получивший от подрядчика документацию, в срок не позднее 10 рабочих дней с момента получения приступает к приемке результата работ, проверяет комплектность документации и ее соответствие требованиям договора, в том числе техническому заданию и иным исходным данным. Принятие каждого этапа работ в соответствии с положениями пункта 5.2 договора подтверждается подписанием акта сдачи-приемки выполненных работ. Акты сдачи-приемки выполненных работ подписываются при условии предоставления подрядчиком исполнительной сметы. Согласно пункту 12.2.5 договора генподрядчик осуществляет проверку и оформление поступивших от подрядчика документов в течение 30 рабочих дней, не считая дня их поступления, после чего при отсутствии замечаний производит их оплату в течение 180 банковских дней с момента подписания актов приемки выполненных работ (услуг) или дает мотивированный отказ от оплаты. Общество письмом от 23.05.2019 направило в адрес управления акты о приемке выполненных работ, справки о стоимости выполненных работ на сумму 462 000 000 руб., а также реестр передачи актов выполненных работ и счета-фактуры. В претензии от 03.06.2019 общество, указав на отсутствие замечаний по представленным актам выполненных работ в установленные договором сроки и неполную оплату работ, предложило управлению уплатить имеющуюся задолженность. Оставление претензии без удовлетворения послужило основанием для обращения общества в арбитражный суд с настоящим иском. Управление в ходе рассмотрения дела в суде первой инстанции заявило, что в связи с просрочкой выполнения работ по договору обществу начислена неустойка в размере 336 305 150 руб. 43 коп. и направлено уведомление о зачете встречных требований, а именно суммы неустойки и задолженности по оплате стоимости выполненных работ по договору, определенной на основании заключения судебной экспертизы, со ссылкой на установление сальдо взаимных обязательств. Разрешая спор и удовлетворяя иск, суды первой и апелляционной инстанций руководствовались статьями 309 , 310 , 702 , 711 , 720 , 753 Гражданского кодекса Российской Федерации (далее – ГК РФ), пунктом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и с учетом экспертных заключений исходили из доказанности факта выполнения обществом работ на заявленную сумму и наличия у управления обязанности по оплате их результата. Суды, отклоняя заявление управления о проведении зачета взаимных требований, сослались на положения статьи 411 ГК РФ , статей 63 , 142 Федерального закона от 26.10.2002 № 127-ФЗ «О несостоятельности (банкротстве)» (далее – Закон о банкротстве) и указали, что решением Арбитражного суда города Санкт-Петербурга и Ленинградской области от 16.10.2019 по делу № А56-84368/2019 общество признано несостоятельным (банкротом), зачет встречного однородного требования не допускается с даты возбуждения в отношении одной из сторон дела о банкротстве (пункт 14 информационного письма Президиума Высшего Арбитражного Суда Российской Федерации от 29.12.2001 № 65 «Обзор практики разрешения споров, связанных с прекращением обязательств зачетом встречных однородных требований), поэтому оснований для проведения зачета не имеется. Суд округа поддержал выводы судов первой и апелляционной инстанций. Между тем судами не учтено следующее. В соответствии со статьями 702 , 708 , 709 и 720 ГК РФ обязательственное правоотношение по договору подряда состоит из двух основных встречных обязательств, определяющих тип этого договора: обязательства подрядчика выполнить в натуре работы надлежащего качества в согласованный срок и обязательства заказчика уплатить обусловленную договором цену в порядке, предусмотренном сделкой (статья 328 ГК РФ ). Так, в силу пункта 1 статьи 711 ГК РФ ,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Из встречного характера таких обязательств и положений пунктов 1 и 2 статьи 328 ГК РФ следует, что в случае ненадлежащего исполнения принятого подрядчиком основного обязательства им не может быть получена та сумма, на которую он мог рассчитывать, если бы исполнил это обязательство должным образом (в том числе с соблюдением установленных сроков). Как указано выше, ответчик в суде первой инстанции ссылался на наличие на стороне истца обязанности по уплате договорной неустойки за нарушение сроков выполнения работ. Заявив о начислении неустойки, ответчик, тем самым, по сути, просил суд определить итоговую сумму задолженности по договору с учетом допущенного истцом нарушения. Однако суды, ограничившись указанием на направление ответчиком уведомления о зачете взаимных требований после возбуждения в отношении истца дела о несостоятельности (банкротстве), не проанализировали условия договора об ответственности сторон, не проверили обоснованность начисления ответчиком неустойки за нарушение истцом сроков выполнения работ и ее размер с целью осуществления окончательного взаиморасчета сторон по договору. Сделав вывод о невозможности проведения зачета взаимных требований ввиду возбуждения в отношении истца дела о банкротстве, суды не приняли во внимание изложенную в определении Судебной коллегии по экономическим спорам от 02.09.2019 № 304-ЭС19-11744 правовую позицию, согласно которой действия, направленные на установление сальдо взаимных предоставлений, вытекающего из существа подрядных отношений и происходящего в силу встречного характера основных обязательств заказчика и подрядчика, не являются сделкой, которая может быть оспорена по правилам статьи 61.3 Закона о банкротстве, так как в случае сальдирования отсутствует такой квалифицирующий признак, как получение заказчиком какого-либо предпочтения - причитающуюся подрядчику итоговую денежную сумму уменьшает сам подрядчик своим ненадлежащим исполнением основного обязательства, а не заказчик, констатировавший факт сальдирования. Аналогичный правовой подход был выражен также в определениях Судебной коллегии по экономическим спорам Верховного Суда Российской Федерации от 29.01.2018 № 304-ЭС17-14946, от 12.03.2018 № 305-ЭС17-17564, от 29.08.2019 № 305-ЭС19-10075. Согласно пункту 3 статьи 1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Частью 3 статьи 8 АПК РФ предусмотрено, что арбитражный суд не вправе своими действиями ставить какую-либо из сторон в преимущественное положение, равно как и умалять права одной из сторон. Таким образом, с учетом приведенных норм права и соответствующих разъяснений Судебная коллегия считает, что на основании пункта 1 статьи 291.11 АПК РФ решение Арбитражного суда города Москвы от 23.07.2021, постановление Девятого арбитражного апелляционного суда от 02.12.2021 и постановление Арбитражного суда Московского округа от 27.04.2022 подлежат отмене с направлением дела на новое рассмотрение в суд первой инстанции. При новом рассмотрении дела суду надлежит учесть изложенное, исследовать все обстоятельства, имеющие значение для правильного разрешения спора, оценить доводы сторон, правильно применив нормы материального и процессуального права, разрешить спор. Руководствуясь статьями 291.11 – 291.15 АПК РФ ,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23.07.2021, постановление Девятого арбитражного апелляционного суда от 02.12.2021 и постановление Арбитражного суда Московского округа от 27.04.2022 по делу № А40-222003/2019 отменить. Дело направить на новое рассмотрение в Арбитражный суд города Москвы.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Е.Е. Борисова судья Р.А. Хатыпова Суд: Верховный Суд РФ (подробнее) Истцы: ООО "Гранд" (подробнее) Ответчики: АО "Главное управление обустройства войск"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