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02.02.2022, оставленным без изменения постановлением Восьмого арбитражного апелляционного суда от 07.04.2022 и постановлением Арбитражного суда Западно-Сибирского округа от 27.06.2022, в удовлетворении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по делу новый судебный акт об удовлетворении исковых требований.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421, 422, 445 Гражданского кодекса Российской Федерации, положениями Федерального закона от 24.06.1998 № 89-ФЗ «Об отходах производства и потребления», Правил коммерческого учета объема и (или) массы твердых коммунальных отходов, утвержденных постановлением Правительства Российской Федерации от 03.06.2016 № 505, Правил обращения с твердыми коммунальными отходами, утвержденных постановлением Правительства Российской Федерации от 12.11.2016 № 1156, установив, что предлагаемые обществом условия противоречат действующему законодательству, суды первой и апелляционной инстанций отказали в удовлетворении заявленных требований, с чем впоследствии согласился суд округа. Приведенные в кассационной жалобе доводы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«Омич»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