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Удалов Дмитрий Иванович обратился в суд с заявлением о привлечении бывшего руководителя должника Морозова С.А. к субсидиарной ответственности по обязательствам должника в размере 5 809 036 рублей 60 копеек. Определением Арбитражного суда Челябинской области от 19.11.2021, оставленным без изменения постановлениями Восемнадцатого арбитражного апелляционного суда от 16.03.2022 и Арбитражного суда Уральского округа от 21.06.2022, заявление удовлетворено. В кассационной жалобе, поданной в Верховный Суд Российской Федерации, заявитель просит отменить названные судебные акты в части установленного размера субсидиарной ответственности и направить обособленный спор в данной части на новое рассмотрение.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 и определяя размер субсидиарной ответственности заявителя, суды, руководствуясь пунктом 11 статьи 61.11 Федерального закона от 26.10.2002 № 127-ФЗ «О несостоятельности (банкротстве)», исходили из общей суммы непогашенных требований кредиторов, не установив оснований для освобождения заявителя от субсидиарной ответственности либо снижения её размера. Выводы судов в обжалуемой заявителем части соответствуют нормам права, оснований для переоценки этих выводов не имеется. Несогласие заявителя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Морозову Сергею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