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комитета кредиторов Ловкина Анна Васильевна обратилась в суд с жалобой на бездействие конкурсного управляющего банком, выразившееся в непринятии мер по реализации имущества должника. Определением Арбитражного суда Свердловской области от 21.01.2022, оставленным без изменения постановлениями Семнадцатого арбитражного апелляционного суда от 11.04.2022 и Арбитражного суда Уральского округа от 22.06.2022, жалоба удовлетворена.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110, 139, 189.73 Федерального закона от 26.10.2002 № 127-ФЗ «О несостоятельности (банкротстве)», исходили из того, что в отсутствие между заявителем и кредиторами спора по вопросу продажи нереализованного на торгах имущества должника, дальнейшее нахождение данного имущества на хранении без предоставления комитету кредиторов банка предложений о порядке его реализации влечёт необоснованное затягивание мероприятий конкурсного производства, увеличение расходов на процедуру банкротства, и как следствие, нарушение прав кредиторов. При таких условиях, суды признали подобное поведение не отвечающим критериям добросовестности и разумности, удовлетворив жалобу представителя комитета кредиторов должника и признав бездействие конкурсного управляющего незаконным.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«Тагилбанк» – государственной корпорации «Агентство по страхованию вкладов»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