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18.02.2022, оставленным без изменения постановлением Девятого арбитражного апелляционного суда от 28.04.2022, в удовлетворении заявления отказано. Арбитражный суд Московского округа постановлением от 14.07.2022 отменил определение от 18.02.2022 и постановление апелляционного суда от 28.04.2022 и удовлетворил заявление. В кассационных жалобах Завизион М.В. и Коваленко А.М. просят об отмене постановления окружного суда, ссылаясь на неправильную оценку обстоятельств совершения сделки и превышение пределов рассмотрения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Иная оценка участниками сделки своего поведения не создает указанных оснований для кассационного пересмотра судебных актов. Довод о превышении пределов рассмотрения спора противоречит статьям 286 - 288 Арбитражного процессуального кодекса Российской Федерации, поскольку судебные акты нижестоящих инстанций отменены окружным судом в связи с неправильным применением норм права.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гражданам Завизиону М.В. и Коваленко А.М.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