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указанный судебный акт возвращена письмом Верховного Суда Российской Федерации от 23.09.2022 на основании пункта 1 части 1 статьи 291.5 Арбитражного процессуального кодекса Российской Федерации в связи с несоблюдением требований, установленных пунктами 1 и 2 части 5 статьи 291.3 АПК РФ. Настоящая кассационная жалоба подана обществом в электронном виде 07.10.2022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2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А56-59812/2021 является постановление Арбитражного суда Северо-Западного округа от 21.07.2022, вступившее в законную силу, согласно части 5 статьи 289 АПК РФ, со дня его принятия – 21.07.2022, следовательно, двухмесячный срок на подачу кассационной жалобы истек 21.09.2022.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устранение причин,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поскольку ненадлежащая первоначальная подача кассационной жалобы и последующая уплата государственной пошлины 07.10.2022 – по истечении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«ЛК «Адельтранс» в удовлетворении ходатайства о восстановлении пропущенного процессуального срока подачи кассационной жалобы на постановление Арбитражного суда Северо-Западного округа от 21.07.2022 по делу № А56-59812/2021 Арбитражного суда города Санкт- Петербурга и Ленинградской области. Жалобу ООО «ЛК «Адельтранс»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