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13.11.2019, оставленным без изменения постановлением суда апелляционной инстанции от 27.02.2019, в удовлетворении заявленных требований отказано. Постановлением суда округа от 06.06.2019 названные судебные акты отменены, заявленные требования удовлетворены, применена реституция. В кассационных жалобах, поданных в Верховный Суд Российской Федерации, заявители просят обжалуемое постановление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материалов дела, судебных актов и доводов кассационных жалоб не установлено. Разрешая спор и отменяя судебные акты судов первой и апелляционной инстанций, суд округа руководствовался положениями статей 61.1, 61.3 и 213.32 Федерального закона от 26.10.2002 № 127-ФЗ «О несостоятельности (банкротстве)», статей 10 , 166 , 168 Гражданского кодекса Российской Федерации и исходил из того, что спорная сделка совершена со злоупотреблением правом, при этом в результате ее совершения ухудшено положение иных кредиторов должника. По результатам изучения материалов дела оснований для того, чтобы сделать обратные выводы о неправильном применении судом округа норм материального или процессуального права, не имеется. Изучение материалов дела показало, что доводы заявителей по существу направлены на переоценку имеющихся доказательств, что не относится к полномочиям суда при кассационном производстве. При таких условиях доводы жалоб не свидетельствуют о наличии оснований для их передачи на рассмотрение в судебном заседании. При этом необходимо учесть, что (как следует из Картотеки арбитражных дел) определением Арбитражного суда города Москвы от 03.07.2019, оставленным без изменения постановлением Девятого арбитражного апелляционного суда от 27.09.2019, отказано в удовлетворении заявления ФИО1 об исключении из конкурсной массы квартиры, которая обеспечивает кредитное обязательство перед Сбербанком (квартира по адресу: г. Москва, р-н Отрадное, ул. Бестужевых, д. 8а, кв. 53), ввиду наличия у должника иного жилья. Поэтому сделанный в обжалуемом постановлении судом округа вывод о том, что в случае непредъявления ФИО2 своего требования в деле о банкротстве должник получит возможность потребовать признания спорной квартиры единственным жильем, является ошибочным. Равным образом ошибочным является данное судом округа закону толкование, согласно которому при наличии включенного в реестр требования, обеспеченного залогом, право на получение удовлетворения из стоимости заложенного имущества получает не только залоговый кредитор, но и иные кредиторы тоже. Вопреки выводу суда округа исключение из исполнительского иммунитета при наличии залога распространяется только на залогового кредитора, иные кредиторы не вправе претендовать на вырученные от продажи заложенного единственного жилья денежные средства. Таким образом, независимо от признания недействительной спорной сделки, с учетом отказа в исключении квартиры из конкурсной массы, обратить взыскание на данную квартиру мог не только Сбербанк, но и иные кредиторы, в связи с чем интересы должника, связанные с единственным жильем, не ущемлены обжалуемым постановлением суда округа. В случае, если впоследствии за спорной квартирой будет признан статус единственного пригодного жилья, должник не лишен возможности обратиться в суд округа с заявлением о пересмотре обжалуемого постановления по правилам главы 37 Арбитражного процессуального кодекса Российской Федерации. В настоящий же момент оснований для передачи жалоб на рассмотрение в судебном заседании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Истцы: АО "Райффайзенбанк" (подробнее) ИФНС РОССИИ №25 ПО Г. МОСКВЕ (подробнее) ОАО "Московский кредитный банк" (подробнее) ООО "Дейстим" (подробнее) ПАО ПАЛ "Сбербанк России" в лице филиала - Московского банка Сбербанк (подробнее) ПАО "Сбербанк России" (подробнее) Иные лица: Ассоциации СРО "ЦААУ" (подробнее) АССОЦИАЦИЯ "САМОРЕГУЛИРУЕМАЯ ОРГАНИЗАЦИЯ АРБИТРАЖНЫХ УПРАВЛЯЮЩИХ "ЛИГА" (подробнее) ИФНС 46 (подробнее) к/у Муравьева Т.Д (подробнее) ООО "Вербер" (подробнее) ООО "ГРАНТМОЛЛ" (подробнее) ООО "Караван Торг" (подробнее) ф/у Муравьева Т.Д (подробнее) Судьи дела: Букина И.А.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