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10.11.2021 жалоба удовлетворена в части признания ненадлежащим проведения финансовым управляющим анализа финансового состояния должника. Восьмой арбитражный апелляционный суд постановлением от 25.02.2022 отменил определение от 10.11.2021 и отказал в удовлетворении жалобы. Арбитражный суд Западно-Сибирского округа постановлением от 08.06.2022 постановление апелляционного суда от 25.02.2022 оставил без изменения. В кассационной жалобе Дьяченко А.В. просит об отмене судебных актов апелляционного и окружного судов, ссылаясь на их противоречие ранее установленным судами в деле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Апелляционной суд установил, что анализ финансового состояния должника составлен на основании документально подтвержденных данных, имеющихся у финансового управляющего, и, руководствуясь статьями 47, 213.5, 213.8, 213.9, 213.12 Федерального закона от 26.10.2002 № 127-ФЗ «О несостоятельности (банкротстве)», не установил в деятельности управляющего вменяемых нарушений. Суды не выявили противоречия с состоявшимися ранее судебными актами, основанными на имевшихся к моменту их принятия обстоятельствах.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Дьяченко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