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обратилось в суд с заявлением о пересмотре по вновь открывшимся обстоятельствам определения Арбитражного суда города Москвы от 13.08.2019 о признании недействительной сделкой договора уступки права требования № 2/12 ТР от 14.03.2017, заключенного между должником и обществом с ограниченной ответственностью «ЖБКиИ Комплект», применения последствий недействительности сделки. Определением Арбитражного суда города Москвы от 21.01.2022, оставленным без изменения постановлениями Девятого арбитражного апелляционного суда от 30.03.2022 и Арбитражного суда Московского округа от 16.06.2022, производство по заявлению прекращено. В кассационной жалобе, поданной в Верховный Суд Российской Федерации, заявитель просит отменить названные судебные акты и направить заявление о пересмотре судебного акта для рассмотрения по существу.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2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(статья 291.11 Арбитражного процессуального кодекса Российской Федерации). Рассмотрев доводы кассационной жалобы, изучив судебные акты, судья полагает, что они не свидетельствуют о наличии оснований, предусмотренных статьей 291.11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«ВодТехноСервис»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