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21.02.2022, оставленным без изменения постановлением Десятого арбитражного апелляционного суда от 25.04.2022 и постановлением Арбитражного суда Московского округа от 25.07.2022, в удовлетворении заявления отказано. В кассационной жалобе Семешкин К.А. просит об отмене судебных актов, ссылаясь на неполное выяснение обстоятельств, на которых основано требование.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Суды признали недоказанными применительно к статье 446 Гражданского процессуального кодекса Российской Федерации, статье 213.25 Федерального закона от 26.10.2002 № 127-ФЗ «О несостоятельности (банкротстве)» условий для исключения заявленных сумм из конкурсной массы. Доказывание и оценка доказательств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Семешкину К.А.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