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07.10.2022 повторно направил в Верховный Суд Российской Федерации кассационную жалобу на указанные судебные акты, к которой приложил ходатайство о восстановлении пропущенного процессуального срока. Согласно части 1 статьи 291.2 Арбитражного процессуального кодекса Российской Федерации (далее – Кодекс)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25.07.2022, на момент обращения заявителя в Верховный Суд Российской Федерации с настоящей кассационной жалобой двухмесячный срок, установленный статьей 291.2 Кодекса, истек. 2 Положениями части 2 статьи 291.2 Кодекса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Кодекса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Кодекса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своевременное направление им в суд первоначальной кассационной жалобы – 20.09.2022, а также то обстоятельство, что ходатайство заявлено в пределах шести месяцев со дня вступления в законную силу обжалуемого судебного акта, суд усматривает основания для восстановления срока на подачу жалобы. Руководствуясь статьями 117, 184, 185,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гражданина Блинникова Александра Николаевича удовлетворить и восстановить пропущенный срок на подачу кассационной жалобы.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