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Чувашской Республики – Чувашии от 17.01.2022, оставленным без изменения постановлением Первого арбитражного апелляционного суда от 28.03.2022 и постановлением Арбитражного суда Волго-Вятского округа от 27.06.2022, процедура реализации имущества гражданки Романовой Н.Н. завершена, к должнику применено правило об освобождении от дальнейшего исполнения требований кредиторов, в том числе не заявленных при введении процедуры реализации имущества гражданина. ООО «НБК» обратилось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