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Возражения против выводов судов об обстоятельствах дела, вытекающие из доводов жалобы и направленные по существу, на их повторное 2 исследование, не относятся к полномочиям кассационной инстанции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Торговая компания «Гидросистема»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