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Мамаева Д.Ю. в Арбитражный суд Свердловской области обратился финансовый управляющий Гордеев П.А. с заявлением о признании недействительными сделок, связанных с отчуждением недвижимого имущества (квартиры), и применении последствий недействительности сделки в виде возврата в конкурсную массу должника квартиры, а в случае невозможности возврата имущества в натуре, взыскания 5 500 000 рублей в конкурсную массу должника. Определением Арбитражного суда Свердловской области от 21.12.2021, оставленным без изменения постановлением Семнадцатого арбитражного апелляционного суда от 21.03.2022 и постановлением Арбитражного суда Уральского округа от 16.06.2022, в удовлетворении заявления отказано. Финансовый управляющий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10, 168, 170 Гражданского кодекса Российской Федерации, статьями 61.2, 213.32 Федерального закона от 26.10.2002 № 127-ФЗ «О несостоятельности (банкротстве)» и исходили из реальности передачи фактического контроля над объектами недвижимости конечному покупателю, а также недоказанности притворности последовательных сделок купли-продажи и недобросовестного поведения (злоупотребления правом) сторон оспариваемых сделок, действующих исключительно с намерением причинить вред кредиторам должника.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