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Смирнова А.С. в Арбитражный суд Удмуртской Республики обратилась Бутченко Л.Л. с жалобой на действия (бездействие) финансового управляющего Поскина А.Е. в части исключения из конкурсной массы должника денежных средств, необходимых для оплаты коммунальных услуг за квартиру, взыскании с финансового управляющего в конкурсную массу должника убытков в размере 24 158 рублей 80 копеек. Определением Арбитражного суда Удмуртской Республики от 15.03.2022, оставленным без изменения постановлением Семнадцатого арбитражного апелляционного суда от 31.05.2022 и постановлением Арбитражного суда Уральского округа от 11.08.2022, в удовлетворении жалобы конкурсного кредитора отказано. Бутченко Л.Л.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жалобу на действия (бездействие) финансового управляющего необоснованной, суды руководствовались статьями 20.3, 20.4, 60, 213.9 Федерального закона от 26.10.2002 № 127-ФЗ «О несостоятельности (банкротстве)» и исходили из того, что действия финансового управляющего не повлекли нарушения прав и законных интересов должника и кредиторов.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