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26.01.2022, оставленным без изменения постановлением Девятого арбитражного апелляционного суда от 27.04.2022 и постановлением Арбитражного суда Московского округа от 19.07.2022, процедура реализации имущества должника завершена, должник освобожден от дальнейшего исполнения требований кредиторов. В кассационной жалобе Якубовская Е.В.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Приведенные в жалобе доводы исследованы судами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Якубовской Е.В.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