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01.02.2022, оставленным без изменения постановлением Восемнадцатого арбитражного апелляционного суда от 04.04.2022 и постановлением Арбитражного суда Уральского округа от 17.06.2022, заявление удовлетворено. В кассационной жалобе ФИО1 просит об отмене судебных актов, ссылаясь на недоказанность общности долга.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исходили из установленной в силу статей 35, 45 Семейного кодекса Российской Федерации и не опровергнутой презумпции расходования денежных средств на нужды семьи, поэтому признали ФИО3 обязанной в отношении спорного долга наряду с супругом. Вопросы доказывания и оценки доказательств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ЗАО "УЗНХМ" (подробнее) ПАО Банк ВТБ (подробнее) ПАО "Промсвязьбанк" (подробнее) ПАО "Сбербанк России" (подробнее) Иные лица: Финансовый управляющий Трушкин Дмитрий Игоревич (подробнее) Центр финансового оздоровления предприятий агропромышленного комплекса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