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24.09.2021 с общества в пользу компании взыскано 12 000 000 руб. обеспечительного платежа, распределены судебные расходы, с депозитного счета суда выплачены денежные средства экспертной организации и возвращены денежные средства обществу. Двенадцатый арбитражный апелляционный суд определением от 12.01.2022 перешел к рассмотрению дела по правилам суда первой инстанции; определением от 09.02.2022 принял отказ компании от исковых требований в части взыскания штрафа и прекратил производство по делу в указанной части. Постановлением Девятнадцатого арбитражного апелляционного суда от 18.03.2022 решение суда первой инстанции отменено в части исковых требований и распределения судебных расходов; иск удовлетворен, с общества в пользу компании взыскано 12 000 000 руб. обеспечительного платежа, распределены судебные расходы; решение суда в части выплаты экспертной 2 организации и возврата обществу денежных средств с депозита суда оставлено без изменения. Постановлением Арбитражного суда Центрального округа от 15.07.2022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 кассационной инстанций норм материального и процессуального права, просит отменить постановления от 18.03.2022, от 15.07.2022 и принять по делу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протолковав условия спорного договора, установив, что договорные отношения прекращены в связи с отказом компании (заказчик) от исполнения обязательств, условие названного договора в части невозврата обеспечительного платежа при расторжении договора является ничтожным, суд апелляционной инстанции пришел к выводу об отсутствии у общества (исполнитель) оснований для удержания обеспечительного платежа. При таких обстоятельствах, руководствуясь статьями 309, 310, 421, 431, 450, 451.1, 782, 896, 899, 904 Гражданского кодекса Российской Федерации, разъяснениями, изложенными в постановлении Пленума Высшего Арбитражного Суда Российской Федерации от 14.03.2014 № 16 «О свободе договора и ее пределах», постановлении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суд признал иск подлежащим удовлетворению, с чем впоследствии согласился суд округа. Доводы кассационной жалобы не свидетельствуют о существенных нарушениях норм права, повлиявших на исход дела, по существу направлены на переоценку установленных фактических обстоятельств дела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«Логистика-2009»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