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28.12.2021, оставленным без изменения постановлением Пятнадцатого арбитражного апелляционного суда от 09.03.2022, заявление удовлетворено: из конкурсной массы должника исключены денежные средства в размере страховой пенсии, полученной должником в период с даты введения в отношении должника процедуры реализации имущества по дату завершения процедуры реализации имущества или прекращения производства по делу о банкротстве. Постановлением Арбитражного суда Северо-Кавказского округа от 09.06.2022 судебные акты изменены: из конкурсной массы исключены денежные средства в размере страховой пенсии по старости сверх величины прожиточного минимума, установленного в регионе проживания должника, с 21.09.2021 по дату завершения процедуры реализации имущества или прекращения производства по делу о несостоятельности (банкротстве) должника. В кассационной жалобе Шевченко В.М. просит об отмене постановления окружного суда, ссылаясь на отсутствие основания для изменения даты начала исключения сумм из конкурсной массы.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Исключение имущества из конкурсной массы носит заявительный характер, поэтому удовлетворено с момента подачи.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Шевченко Валентине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