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03.12.2021, оставленным без изменения постановлением Одиннадцатого арбитражного апелляционного суда от 18.04.2022 и постановлением Арбитражного суда Поволжского округа от 23.06.2022, заявление удовлетворено частично. В кассационной жалобе Панин В.В. просит об отмене судебных актов, ссылаясь на несоответствие выводов судов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Требования кредитора, основанные на договорах займа, проверены судами на соответствие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Доказывание и оценка доказательств, на которых построены доводы жалобы, не создают оснований для кассационного пересмотра судебных актов. Руководствуясь статьями 291.6, 291.,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Панину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