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 Рукавишниковой А.С. о не получении ею извещения суда округа о дате и времени судебного заседания не может быть принят во внимание, поскольку она являлась участником спора и заявителем кассационной жалобы в суде округа, и в силу части 6 статьи 121 Арбитражного процессуального кодекса Российской Федерации должна самостоятельно предпринимать меры по получению информации о движении дела с использованием любых источников такой информации и любых средств связи, и несет риск наступления неблагоприятных последствий в результате непринятия таких мер.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Рукавишниковой Анне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