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позиции заявителя, наличие у уполномоченного лица в силу части 5 статьи 200 Арбитражного процессуального кодекса Российской Федерации процессуальной обязанности по доказыванию оснований для принятия ненормативного акта, в соответствии со статьей 65 названного Кодекса не освобождает от документального обоснования заявленных требований, в том числе в части наличия нарушенного права. Кроме того, взыскатель не лишен возможности обратиться к уполномоченному лицу за разъяснениями относительно местонахождения исполнительного документа и в случае его фактической утраты подать в арбитражный суд заявление о выдаче дубликата исполнительного листа в порядке, предусмотренном статьей 323 Арбитражного процессуального кодекса Российской Федерации. При таких обстоятельствах,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Начальник отдела-ССП по СЗАО ГУФССП России по Москве Дегтярев В.В.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