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09.12.2021 завершена процедура реализации имущества гражданина ФИО2 и должник освобожден от дальнейшего исполнения требований кредиторов, в том числе не заявленных при введении реструктуризации долгов гражданина и процедуры реализации имущества гражданина. Постановлением Девятого арбитражного апелляционного суда от 10.03.2022 определение суда первой инстанции оставлено без изменения. Арбитражный суд Московского округа постановлением от 08.06.2022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в части освобождения должника от исполнения обязательств перед кредитором,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Освобождая должника от дальнейшего исполнения требований кредиторов, суды руководствовались положениями статьи 213.28 Федерального закона от 26.10.2002 № 127-ФЗ «О несостоятельности (банкротстве)», разъяснениями, изложенными в пунктах 45,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обстоятельств, свидетельствующих о противоправности действий должника, направленных на умышленное причинение ущерба кредиторам, уклонение от исполнения своих обязательств, сокрытие своего имущества и доходов, воспрепятствование деятельности финансового управляющего, недобросовестном поведении и признаках преднамеренного или фиктивного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"Альфа-Банк" (подробнее) Вайниконис Витаутас (подробнее) ООО "ФИРМА РКК"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