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23.09.2022 направила в Верховный Суд Российской Федерации кассационную жалобу и одновременно заявила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Нарушение порядка подачи первоначальной кассационной жалобы и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Восстановление пропущенного срока на кассационное обжалование судебных актов возможно при наличии объективных причин его пропуска. В отсутствие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законодательством, ходатайство заявителя о восстановлении пропущенного процессуального срока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срока отказать, кассационную жалобу возвратить заявителю. Судья Верховного Суда Першутов А. Г. Российской Федерации Суд: Верховный Суд РФ (подробнее) Истцы: Межмуниципальный отдел МВД России "Очерский"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