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Волгоградской области обратилась ФИО1 с заявлением о процессуальном правопреемстве на стороне кредитора - Банка ВТБ (ПАО) в части включенного в реестр требований кредиторов должника требования в размере 1 100 734 рублей 38 копеек, как обеспеченного залогом жилого дома и земельного участка, находящихся по адресу: &lt;...&gt;. Определением Арбитражного суда Волгоградской области от 28.12.2021 заявление удовлетворено. Постановлением Двенадцатого арбитражного апелляционного суда от 10.03.2022 определение суда первой инстанции отменено и в удовлетворении заявления отказано. Арбитражный суд Поволжского округа постановлением от 09.06.2022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процессуальном правопреемстве, суды апелляционной и кассационной инстанций руководствовались положениями статей 363 , 367 Гражданского кодекса Российской Федерации, разъяснениями, данными в пункте 53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и исходили из того, что задолженность по кредитному договору фактически погашена основным заемщиком - ФИО3 за счет денежных средств, полученных в заем у ФИО1, перечисление денежных средств кредитору не привело к последствиям, предусмотренным статьей 313 Гражданского кодекса Российской Федерации, в связи с прекращением поручительства по исполненному обязательству по кредитному договору у ФИО1 отсутствовали основания для заявления требований к должнику, не являющемуся заемщиком по кредитному договору с банком.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МИФНС №2 по Волгоградской области (подробнее) ООО "Феникс" (подробнее) ПАО Банк ВТБ (подробнее) ПАО "Сбербанк России" (подробнее) Иные лица: Ассоциация "Межрегиональная саморегулируемая организация арбитражных управляющих" (подробнее) Судьи дела: Зарубина Е.Н. (судья)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