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(далее – реестр) задолженности в общем размере 115 712 649 рублей 53 копейки. Определением Арбитражного суда города Москвы от 12.01.2022, оставленным без изменения постановлением Девятого арбитражного апелляционного суда от 23.03.2022, заявление удовлетворено. Постановлением Арбитражного суда Московского округа от 16.06.2022 принятые по спору судебные акты в части включения в реестр требования в размере 59 577 520 рублей пени отменены, производство по заявлению о включении в реестр данного требования в названном размере прекращено.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без изменения.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отменяя принятые по спору судебные акты, суд округа, руководствуясь пунктами 2 и 4 части 1 статьи 150 Арбитражного процессуального кодекса Российской Федерации, исходил из отсутствия процессуальной возможности повторного рассмотрения судом требования общества о включении в реестр пени за ненадлежащее исполнение должником своих договорных обязательств, тождественного ранее заявленному по предмету и основаниям, в отношении которого обществом заявлен отказ с последующим прекращением по нему судом производства в ином арбитражном деле.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и (или) норм процессуального права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«ВолгаТатСудоремонт»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