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26.11.2021, оставленным без изменения постановлением Девятого арбитражного апелляционного суда от 10.02.2022, исковые требования удовлетворены. Постановлением Арбитражного суда Московского округа от 07.06.2022 решение суда первой инстанции и постановление суда апелляционной инстанции отменены, дело направлено на новое рассмотрение в Арбитражный суд города Москвы. В кассационной жалобе, поданной в Верховный Суд Российской Федерации, общество, ссылаясь на нарушение судом округа норм права, просит отменить постановление от 07.06.2022.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решение суда первой инстанции, постановление суда апелляционной инстанции и направляя дело на новое рассмотрение, суд округа, не принимая судебного акта по существу спора, исходил из того, что суды неполно исследовали существенные для разрешения спора обстоятельства, не дали оценку всем представленным доказательствам и доводам сторон.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«Триумф-Строй»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