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сделки – акта приёма–передачи временных сооружений по договору генерального подряда, заключённого между должником (генеральный подрядчик) и обществом «СТОД» (заказчик) и применении последствий недействительности сделки. Определением Арбитражного суда города Санкт – Петербурга и Ленинградской области от 05.01.2022, оставленным без изменения постановлениями Тринадцатого арбитражного апелляционного суда от 15.03.2022 и Арбитражного суда Северо-Западного округа от 06.06.2022, заявление конкурсного управляющего должником удовлетворено, применены последствия недействительности сделки, обществу «СТОД» необходимо возвратить в конкурсную массу должника временные сооружения, переданные по акту приёмки–передачи. В кассационной жалобе, поданной в Верховный Суд Российской Федерации, заявитель просит отменить оспариваемые судебные акты, ссылаясь 2 на нарушение судами норм материального и процессуального права, в удовлетворении заявленного требования отказать.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пунктами 1, 2 статьи 61.2 Федерального закона от 26.10.2002 № 127-ФЗ «О несостоятельности (банкротстве)», пунктом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передачи должником заказчику временных сооружений на безвозмездной основе, в период подозрительности, в связи с чем пришли к выводу о недействительности данной сделки, правомерно применив последствия её недействительности.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